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>
          <w:sz w:val="48"/>
          <w:szCs w:val="48"/>
        </w:rPr>
        <w:t xml:space="preserve">               </w:t>
      </w:r>
      <w:r>
        <w:rPr>
          <w:b/>
          <w:bCs/>
          <w:sz w:val="48"/>
          <w:szCs w:val="48"/>
          <w:u w:val="single"/>
        </w:rPr>
        <w:t xml:space="preserve">     </w:t>
      </w:r>
      <w:r>
        <w:rPr>
          <w:b/>
          <w:bCs/>
          <w:sz w:val="48"/>
          <w:szCs w:val="48"/>
          <w:u w:val="single"/>
        </w:rPr>
        <w:t>APAR</w:t>
      </w:r>
      <w:r>
        <w:rPr>
          <w:b/>
          <w:bCs/>
          <w:sz w:val="48"/>
          <w:szCs w:val="48"/>
          <w:u w:val="single"/>
          <w:lang w:val="cs-CZ"/>
        </w:rPr>
        <w:t>ÁT TWIN BLOCK</w:t>
      </w:r>
    </w:p>
    <w:p>
      <w:pPr>
        <w:pStyle w:val="style0"/>
      </w:pPr>
      <w:r>
        <w:rPr>
          <w:b/>
          <w:bCs/>
          <w:sz w:val="36"/>
          <w:szCs w:val="36"/>
          <w:lang w:val="cs-CZ"/>
        </w:rPr>
      </w:r>
    </w:p>
    <w:p>
      <w:pPr>
        <w:pStyle w:val="style0"/>
      </w:pPr>
      <w:r>
        <w:rPr>
          <w:sz w:val="48"/>
          <w:szCs w:val="48"/>
          <w:lang w:val="cs-CZ"/>
        </w:rPr>
        <w:t xml:space="preserve"> </w:t>
        <w:drawing>
          <wp:anchor allowOverlap="1" behindDoc="0" distB="0" distL="0" distR="0" distT="0" layoutInCell="1" locked="0" relativeHeight="0" simplePos="0">
            <wp:simplePos x="0" y="0"/>
            <wp:positionH relativeFrom="column">
              <wp:posOffset>1870710</wp:posOffset>
            </wp:positionH>
            <wp:positionV relativeFrom="paragraph">
              <wp:posOffset>179705</wp:posOffset>
            </wp:positionV>
            <wp:extent cx="2156460" cy="1908810"/>
            <wp:effectExtent b="0" l="0" r="0" t="0"/>
            <wp:wrapTopAndBottom/>
            <wp:docPr descr="" id="0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1908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jc w:val="both"/>
      </w:pPr>
      <w:r>
        <w:rPr>
          <w:sz w:val="32"/>
          <w:szCs w:val="32"/>
          <w:lang w:val="cs-CZ"/>
        </w:rPr>
        <w:t>Vy (nebo Vaše dítě) jste právě obdrželi funkční aparát, který se nazývá “Twin Block“ . Doba léčby tímto aparátem je přibližně 9-12 měsíců, při celodenním nošení.</w:t>
      </w:r>
    </w:p>
    <w:p>
      <w:pPr>
        <w:pStyle w:val="style0"/>
        <w:jc w:val="both"/>
      </w:pPr>
      <w:r>
        <w:rPr>
          <w:sz w:val="32"/>
          <w:szCs w:val="32"/>
          <w:lang w:val="cs-CZ"/>
        </w:rPr>
      </w:r>
    </w:p>
    <w:p>
      <w:pPr>
        <w:pStyle w:val="style0"/>
        <w:jc w:val="both"/>
      </w:pPr>
      <w:r>
        <w:rPr>
          <w:b/>
          <w:bCs/>
          <w:i/>
          <w:iCs/>
          <w:sz w:val="40"/>
          <w:szCs w:val="40"/>
          <w:lang w:val="cs-CZ"/>
        </w:rPr>
        <w:t>CO JE TO</w:t>
      </w:r>
      <w:r>
        <w:rPr>
          <w:i/>
          <w:iCs/>
          <w:sz w:val="40"/>
          <w:szCs w:val="40"/>
          <w:lang w:val="cs-CZ"/>
        </w:rPr>
        <w:t xml:space="preserve"> –</w:t>
      </w:r>
      <w:r>
        <w:rPr>
          <w:i w:val="false"/>
          <w:iCs w:val="false"/>
          <w:sz w:val="40"/>
          <w:szCs w:val="40"/>
          <w:lang w:val="cs-CZ"/>
        </w:rPr>
        <w:t xml:space="preserve"> </w:t>
      </w:r>
      <w:r>
        <w:rPr>
          <w:i w:val="false"/>
          <w:iCs w:val="false"/>
          <w:sz w:val="32"/>
          <w:szCs w:val="32"/>
          <w:lang w:val="cs-CZ"/>
        </w:rPr>
        <w:t>Twin Block je snímací funkční ortodontický aparát. Je složen ze 2 částí. Horní a dolní desky, které pracují společně za účelem předsunutí dolní čelisti vpřed. Dolní čelist je totiž často omezena (</w:t>
      </w:r>
      <w:r>
        <w:rPr>
          <w:i w:val="false"/>
          <w:iCs w:val="false"/>
          <w:sz w:val="32"/>
          <w:szCs w:val="32"/>
          <w:lang w:val="en-US"/>
        </w:rPr>
        <w:t>“u</w:t>
      </w:r>
      <w:r>
        <w:rPr>
          <w:i w:val="false"/>
          <w:iCs w:val="false"/>
          <w:sz w:val="32"/>
          <w:szCs w:val="32"/>
          <w:lang w:val="cs-CZ"/>
        </w:rPr>
        <w:t>zamčena“) v růstu nepříznivým postavením horní čelisti. Tento aparát umožní uvolnění dolní čelisti a plné využití jejího růstového potenciálu.</w:t>
      </w:r>
    </w:p>
    <w:p>
      <w:pPr>
        <w:pStyle w:val="style0"/>
        <w:jc w:val="both"/>
      </w:pPr>
      <w:r>
        <w:rPr>
          <w:i w:val="false"/>
          <w:iCs w:val="false"/>
          <w:sz w:val="32"/>
          <w:szCs w:val="32"/>
          <w:lang w:val="cs-CZ"/>
        </w:rPr>
        <w:t xml:space="preserve">Horní ( někdy i dolní) deska může obsahovat šroub k rozšíření zubního oblouku. Pokud je terapie úspěšná dochází k trvalé pozitivní změně výrazu obličeje a redukci předkusu. Vedlejším efektem je i rozšíření horních dýchacích cest. </w:t>
      </w:r>
    </w:p>
    <w:p>
      <w:pPr>
        <w:pStyle w:val="style0"/>
        <w:jc w:val="both"/>
      </w:pPr>
      <w:r>
        <w:rPr>
          <w:i/>
          <w:iCs/>
          <w:sz w:val="40"/>
          <w:szCs w:val="40"/>
          <w:lang w:val="cs-CZ"/>
        </w:rPr>
      </w:r>
    </w:p>
    <w:p>
      <w:pPr>
        <w:pStyle w:val="style0"/>
        <w:jc w:val="both"/>
      </w:pPr>
      <w:r>
        <w:rPr>
          <w:b/>
          <w:bCs/>
          <w:i/>
          <w:iCs/>
          <w:sz w:val="40"/>
          <w:szCs w:val="40"/>
          <w:lang w:val="cs-CZ"/>
        </w:rPr>
        <w:t>POUŽITÍ</w:t>
      </w:r>
      <w:r>
        <w:rPr>
          <w:i/>
          <w:iCs/>
          <w:sz w:val="40"/>
          <w:szCs w:val="40"/>
          <w:lang w:val="cs-CZ"/>
        </w:rPr>
        <w:t xml:space="preserve"> – </w:t>
      </w:r>
      <w:r>
        <w:rPr>
          <w:i w:val="false"/>
          <w:iCs w:val="false"/>
          <w:sz w:val="32"/>
          <w:szCs w:val="32"/>
          <w:lang w:val="cs-CZ"/>
        </w:rPr>
        <w:t>Léčba tímto aparátem je možná u pacientů všech věkových kategorií, ale obvykle jej nosí děti v období maximálního tělesného růstu. V tuto dobu totiž můžeme nejvíce ovlivnit pozici nedostatečně vyvinuté dolní čelisti. Nošení Twin Blocku je obvykle 1. fází léčby, která je nasledována terapií fixním ortodontickým aprátem(</w:t>
      </w:r>
      <w:r>
        <w:rPr>
          <w:i w:val="false"/>
          <w:iCs w:val="false"/>
          <w:sz w:val="32"/>
          <w:szCs w:val="32"/>
          <w:lang w:val="en-US"/>
        </w:rPr>
        <w:t>“z</w:t>
      </w:r>
      <w:r>
        <w:rPr>
          <w:i w:val="false"/>
          <w:iCs w:val="false"/>
          <w:sz w:val="32"/>
          <w:szCs w:val="32"/>
          <w:lang w:val="cs-CZ"/>
        </w:rPr>
        <w:t>ámečky“</w:t>
      </w:r>
      <w:r>
        <w:rPr>
          <w:i w:val="false"/>
          <w:iCs w:val="false"/>
          <w:sz w:val="32"/>
          <w:szCs w:val="32"/>
          <w:lang w:val="en-US"/>
        </w:rPr>
        <w:t>).</w:t>
      </w:r>
    </w:p>
    <w:p>
      <w:pPr>
        <w:pStyle w:val="style0"/>
        <w:jc w:val="both"/>
      </w:pPr>
      <w:r>
        <w:rPr>
          <w:i/>
          <w:iCs/>
          <w:sz w:val="40"/>
          <w:szCs w:val="40"/>
          <w:lang w:val="cs-CZ"/>
        </w:rPr>
      </w:r>
    </w:p>
    <w:p>
      <w:pPr>
        <w:pStyle w:val="style0"/>
        <w:jc w:val="both"/>
      </w:pPr>
      <w:r>
        <w:rPr>
          <w:b/>
          <w:bCs/>
          <w:i/>
          <w:iCs/>
          <w:sz w:val="40"/>
          <w:szCs w:val="40"/>
          <w:lang w:val="cs-CZ"/>
        </w:rPr>
        <w:t xml:space="preserve">INSTRUKCE - </w:t>
      </w:r>
      <w:r>
        <w:rPr>
          <w:i w:val="false"/>
          <w:iCs w:val="false"/>
          <w:sz w:val="32"/>
          <w:szCs w:val="32"/>
          <w:lang w:val="cs-CZ"/>
        </w:rPr>
        <w:t>Co nejrychlejší dosažení požadovaných výsledků je podmíněno Vaší dobrou spoluprácí. Postupujte prosím podle následujících instrukcí. Pokud máte jakékoliv otázky obraťte se na svého ortodontistu.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lang w:val="cs-CZ"/>
        </w:rPr>
        <w:t xml:space="preserve">Jak vkládat Twin Block – </w:t>
      </w:r>
      <w:r>
        <w:rPr>
          <w:b w:val="false"/>
          <w:bCs w:val="false"/>
          <w:i w:val="false"/>
          <w:iCs w:val="false"/>
          <w:sz w:val="32"/>
          <w:szCs w:val="32"/>
          <w:lang w:val="cs-CZ"/>
        </w:rPr>
        <w:t xml:space="preserve">nejdříve umístěte horní a dolní </w:t>
      </w:r>
      <w:r>
        <w:rPr>
          <w:b w:val="false"/>
          <w:bCs w:val="false"/>
          <w:i w:val="false"/>
          <w:iCs w:val="false"/>
          <w:sz w:val="32"/>
          <w:szCs w:val="32"/>
          <w:lang w:val="cs-CZ"/>
        </w:rPr>
        <w:t>rovnátko na zuby a poté jej palci silně domáčkněte. Nikdy neumísťujte rovnátko pomocí jazyka nebo kousáním do něj. Při vyjímání uvolněte nejprve aparát na obou stranách. Aparát musí pevně sedět na zubech. Nehrajte si s ním proto jazykem. Hrozí jeho poškození.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lang w:val="cs-CZ"/>
        </w:rPr>
        <w:t xml:space="preserve">Celodenní nošení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horní i dolní rovnátko musí být nošeno společně po celý den, včetně jídla a spaní. Jedinou vyjímkou je vyjímaní aparátu při jeho čištění, kontaktních sportech a plavání. Pokud není v ústech, musí být ve speciální krabičce (nikoliv v kapesníku nebo ubrousku – nebezpečí ztráty nebo poškození)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Aktivace šroubu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vždy postupujte dle instrukcí ortodontisty. Obvykle je vhodné otáčení jednou týdně ve směru šipky.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>Nošení Twin Blocku na jídlo –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 xml:space="preserve"> nošení na jídlo výrazně urychlí léčbu. Vyndání rovnátka na jedno jídlo se rovná 24-hodinovému výpadku v nošení!!!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Komfort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 xml:space="preserve">běžnou součástí léčby je určitá citlivost obličejového svalstva během prvních dní nošení.Tato ale brzy vymizí. Nošení na jídlo a během celého dne zajišťuje to, že přístroj stále dobře sedí na zubech a minimalizuje nepohodlí pacienta. 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Potíže s mluvením a nadměrné slinění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je normální, že mluvení s rovnátkem v ústech je obtížnější.Ale stejně jako nadměrné slinění se postupně zlepší.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Ústní hygiena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po celou dobu léčby udržujte rovnátko a zuby čisté. Pravidelně aparát čistěte zubním kartáčkem a mýdlovou vodou.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Kontroly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je třeba pravidelně docházet na kontroly. Ty jsou obvykle v intervalu jednoho měsíce.</w:t>
      </w:r>
    </w:p>
    <w:p>
      <w:pPr>
        <w:pStyle w:val="style0"/>
        <w:numPr>
          <w:ilvl w:val="1"/>
          <w:numId w:val="1"/>
        </w:numPr>
        <w:jc w:val="both"/>
      </w:pPr>
      <w:r>
        <w:rPr>
          <w:b/>
          <w:bCs/>
          <w:i/>
          <w:iCs/>
          <w:sz w:val="32"/>
          <w:szCs w:val="32"/>
          <w:u w:val="none"/>
          <w:lang w:val="cs-CZ"/>
        </w:rPr>
        <w:t xml:space="preserve">Poškození aparátu – </w:t>
      </w:r>
      <w:r>
        <w:rPr>
          <w:b w:val="false"/>
          <w:bCs w:val="false"/>
          <w:i w:val="false"/>
          <w:iCs w:val="false"/>
          <w:sz w:val="32"/>
          <w:szCs w:val="32"/>
          <w:u w:val="none"/>
          <w:lang w:val="cs-CZ"/>
        </w:rPr>
        <w:t>stojí čas i peníze. Nepokoušejte se rovnátko sami upravovat nebo opravovat.</w:t>
      </w:r>
    </w:p>
    <w:p>
      <w:pPr>
        <w:pStyle w:val="style0"/>
        <w:jc w:val="both"/>
      </w:pPr>
      <w:r>
        <w:rPr>
          <w:b/>
          <w:bCs/>
          <w:i/>
          <w:iCs/>
          <w:sz w:val="48"/>
          <w:szCs w:val="48"/>
          <w:u w:val="none"/>
          <w:lang w:val="cs-CZ"/>
        </w:rPr>
      </w:r>
    </w:p>
    <w:p>
      <w:pPr>
        <w:pStyle w:val="style0"/>
        <w:jc w:val="both"/>
      </w:pPr>
      <w:r>
        <w:rPr>
          <w:b/>
          <w:bCs/>
          <w:i/>
          <w:iCs/>
          <w:sz w:val="48"/>
          <w:szCs w:val="48"/>
          <w:u w:val="none"/>
          <w:lang w:val="cs-CZ"/>
        </w:rPr>
        <w:t>PAMATUJTE – noste aparát celý den, pravidelně ho čistěte, dodržujte termíny kontrol!</w:t>
      </w:r>
    </w:p>
    <w:p>
      <w:pPr>
        <w:pStyle w:val="style0"/>
        <w:jc w:val="both"/>
      </w:pPr>
      <w:r>
        <w:rPr>
          <w:i w:val="false"/>
          <w:iCs w:val="false"/>
          <w:sz w:val="32"/>
          <w:szCs w:val="32"/>
          <w:lang w:val="cs-CZ"/>
        </w:rPr>
        <w:t xml:space="preserve">             </w:t>
      </w:r>
    </w:p>
    <w:p>
      <w:pPr>
        <w:pStyle w:val="style0"/>
        <w:jc w:val="both"/>
      </w:pPr>
      <w:r>
        <w:rPr>
          <w:sz w:val="48"/>
          <w:szCs w:val="48"/>
          <w:lang w:val="cs-CZ"/>
        </w:rPr>
        <w:t xml:space="preserve">                  </w:t>
      </w:r>
    </w:p>
    <w:p>
      <w:pPr>
        <w:pStyle w:val="style0"/>
        <w:jc w:val="both"/>
      </w:pPr>
      <w:r>
        <w:rPr>
          <w:sz w:val="48"/>
          <w:szCs w:val="48"/>
          <w:lang w:val="cs-CZ"/>
        </w:rPr>
      </w:r>
    </w:p>
    <w:sectPr>
      <w:type w:val="nextPage"/>
      <w:pgSz w:h="16837" w:w="11905"/>
      <w:pgMar w:bottom="1134" w:footer="0" w:gutter="0" w:header="0" w:left="1134" w:right="1134" w:top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bullet"/>
      <w:lvlText w:val=""/>
      <w:lvlJc w:val="left"/>
      <w:pPr>
        <w:tabs>
          <w:tab w:pos="720" w:val="num"/>
        </w:tabs>
        <w:ind w:hanging="360" w:left="720"/>
      </w:pPr>
      <w:rPr>
        <w:rFonts w:ascii="Symbol" w:cs="Symbol" w:hAnsi="Symbol" w:hint="default"/>
      </w:rPr>
    </w:lvl>
    <w:lvl w:ilvl="1">
      <w:start w:val="1"/>
      <w:numFmt w:val="bullet"/>
      <w:lvlText w:val=""/>
      <w:lvlJc w:val="left"/>
      <w:pPr>
        <w:tabs>
          <w:tab w:pos="1080" w:val="num"/>
        </w:tabs>
        <w:ind w:hanging="360" w:left="1080"/>
      </w:pPr>
      <w:rPr>
        <w:rFonts w:ascii="Symbol" w:cs="Symbol" w:hAnsi="Symbol" w:hint="default"/>
      </w:rPr>
    </w:lvl>
    <w:lvl w:ilvl="2">
      <w:start w:val="1"/>
      <w:numFmt w:val="bullet"/>
      <w:lvlText w:val=""/>
      <w:lvlJc w:val="left"/>
      <w:pPr>
        <w:tabs>
          <w:tab w:pos="1440" w:val="num"/>
        </w:tabs>
        <w:ind w:hanging="360" w:left="1440"/>
      </w:pPr>
      <w:rPr>
        <w:rFonts w:ascii="Symbol" w:cs="Symbol" w:hAnsi="Symbol" w:hint="default"/>
      </w:rPr>
    </w:lvl>
    <w:lvl w:ilvl="3">
      <w:start w:val="1"/>
      <w:numFmt w:val="bullet"/>
      <w:lvlText w:val=""/>
      <w:lvlJc w:val="left"/>
      <w:pPr>
        <w:tabs>
          <w:tab w:pos="1800" w:val="num"/>
        </w:tabs>
        <w:ind w:hanging="360" w:left="1800"/>
      </w:pPr>
      <w:rPr>
        <w:rFonts w:ascii="Symbol" w:cs="Symbol" w:hAnsi="Symbol" w:hint="default"/>
      </w:rPr>
    </w:lvl>
    <w:lvl w:ilvl="4">
      <w:start w:val="1"/>
      <w:numFmt w:val="bullet"/>
      <w:lvlText w:val=""/>
      <w:lvlJc w:val="left"/>
      <w:pPr>
        <w:tabs>
          <w:tab w:pos="2160" w:val="num"/>
        </w:tabs>
        <w:ind w:hanging="360" w:left="2160"/>
      </w:pPr>
      <w:rPr>
        <w:rFonts w:ascii="Symbol" w:cs="Symbol" w:hAnsi="Symbol" w:hint="default"/>
      </w:rPr>
    </w:lvl>
    <w:lvl w:ilvl="5">
      <w:start w:val="1"/>
      <w:numFmt w:val="bullet"/>
      <w:lvlText w:val=""/>
      <w:lvlJc w:val="left"/>
      <w:pPr>
        <w:tabs>
          <w:tab w:pos="2520" w:val="num"/>
        </w:tabs>
        <w:ind w:hanging="360" w:left="2520"/>
      </w:pPr>
      <w:rPr>
        <w:rFonts w:ascii="Symbol" w:cs="Symbol" w:hAnsi="Symbol" w:hint="default"/>
      </w:rPr>
    </w:lvl>
    <w:lvl w:ilvl="6">
      <w:start w:val="1"/>
      <w:numFmt w:val="bullet"/>
      <w:lvlText w:val=""/>
      <w:lvlJc w:val="left"/>
      <w:pPr>
        <w:tabs>
          <w:tab w:pos="2880" w:val="num"/>
        </w:tabs>
        <w:ind w:hanging="360" w:left="2880"/>
      </w:pPr>
      <w:rPr>
        <w:rFonts w:ascii="Symbol" w:cs="Symbol" w:hAnsi="Symbol" w:hint="default"/>
      </w:rPr>
    </w:lvl>
    <w:lvl w:ilvl="7">
      <w:start w:val="1"/>
      <w:numFmt w:val="bullet"/>
      <w:lvlText w:val=""/>
      <w:lvlJc w:val="left"/>
      <w:pPr>
        <w:tabs>
          <w:tab w:pos="3240" w:val="num"/>
        </w:tabs>
        <w:ind w:hanging="360" w:left="3240"/>
      </w:pPr>
      <w:rPr>
        <w:rFonts w:ascii="Symbol" w:cs="Symbol" w:hAnsi="Symbol" w:hint="default"/>
      </w:rPr>
    </w:lvl>
    <w:lvl w:ilvl="8">
      <w:start w:val="1"/>
      <w:numFmt w:val="bullet"/>
      <w:lvlText w:val=""/>
      <w:lvlJc w:val="left"/>
      <w:pPr>
        <w:tabs>
          <w:tab w:pos="3600" w:val="num"/>
        </w:tabs>
        <w:ind w:hanging="360" w:left="3600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style w:styleId="style0" w:type="paragraph">
    <w:name w:val="Výchozí"/>
    <w:next w:val="style0"/>
    <w:pPr>
      <w:widowControl w:val="false"/>
      <w:tabs/>
      <w:suppressAutoHyphens w:val="true"/>
      <w:kinsoku w:val="true"/>
      <w:overflowPunct w:val="true"/>
      <w:autoSpaceDE w:val="true"/>
    </w:pPr>
    <w:rPr>
      <w:rFonts w:ascii="Times New Roman" w:cs="Tahoma" w:eastAsia="Lucida Sans Unicode" w:hAnsi="Times New Roman"/>
      <w:color w:val="auto"/>
      <w:sz w:val="24"/>
      <w:szCs w:val="24"/>
      <w:lang w:bidi="cs-CZ" w:eastAsia="cs-CZ" w:val="en-US"/>
    </w:rPr>
  </w:style>
  <w:style w:styleId="style15" w:type="character">
    <w:name w:val="Odrážky"/>
    <w:next w:val="style15"/>
    <w:rPr>
      <w:rFonts w:ascii="OpenSymbol" w:cs="OpenSymbol" w:eastAsia="OpenSymbol" w:hAnsi="OpenSymbol"/>
    </w:rPr>
  </w:style>
  <w:style w:styleId="style16" w:type="paragraph">
    <w:name w:val="Nadpis"/>
    <w:basedOn w:val="style0"/>
    <w:next w:val="style17"/>
    <w:pPr>
      <w:keepNext/>
      <w:spacing w:after="120" w:before="240"/>
      <w:contextualSpacing w:val="false"/>
    </w:pPr>
    <w:rPr>
      <w:rFonts w:ascii="Arial" w:cs="Tahoma" w:eastAsia="MS Gothic" w:hAnsi="Arial"/>
      <w:sz w:val="28"/>
      <w:szCs w:val="28"/>
    </w:rPr>
  </w:style>
  <w:style w:styleId="style17" w:type="paragraph">
    <w:name w:val="Tělo textu"/>
    <w:basedOn w:val="style0"/>
    <w:next w:val="style17"/>
    <w:pPr>
      <w:spacing w:after="120" w:before="0"/>
      <w:contextualSpacing w:val="false"/>
    </w:pPr>
    <w:rPr/>
  </w:style>
  <w:style w:styleId="style18" w:type="paragraph">
    <w:name w:val="Seznam"/>
    <w:basedOn w:val="style17"/>
    <w:next w:val="style18"/>
    <w:pPr/>
    <w:rPr>
      <w:rFonts w:cs="Tahoma"/>
    </w:rPr>
  </w:style>
  <w:style w:styleId="style19" w:type="paragraph">
    <w:name w:val="Popisek"/>
    <w:basedOn w:val="style0"/>
    <w:next w:val="style19"/>
    <w:pPr>
      <w:suppressLineNumbers/>
      <w:spacing w:after="120" w:before="120"/>
      <w:contextualSpacing w:val="false"/>
    </w:pPr>
    <w:rPr>
      <w:rFonts w:cs="Tahoma"/>
      <w:i/>
      <w:iCs/>
      <w:sz w:val="24"/>
      <w:szCs w:val="24"/>
    </w:rPr>
  </w:style>
  <w:style w:styleId="style20" w:type="paragraph">
    <w:name w:val="Rejstřík"/>
    <w:basedOn w:val="style0"/>
    <w:next w:val="style20"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emf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24985</TotalTime>
  <Application>OpenOffice.org/3.1$Win32 OpenOffice.org_project/310m19$Build-9420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2011-01-26T21:11:24.44Z</dcterms:created>
  <dc:creator>MIKE</dc:creator>
  <dcterms:modified xsi:type="dcterms:W3CDTF">2011-01-27T14:49:56.92Z</dcterms:modified>
  <cp:revision>6</cp:revision>
</cp:coreProperties>
</file>